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监督索引号53040200233200200000</w:t>
      </w:r>
    </w:p>
    <w:p w14:paraId="31BF6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both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</w:p>
    <w:p w14:paraId="1E92A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>玉溪市红塔区水利管理站</w:t>
      </w:r>
      <w:r>
        <w:rPr>
          <w:rFonts w:ascii="Times New Roman" w:eastAsia="方正小标宋简体" w:hAnsi="Times New Roman" w:cs="方正小标宋简体" w:hint="eastAsia"/>
          <w:b w:val="0"/>
          <w:bCs w:val="0"/>
          <w:sz w:val="44"/>
          <w:szCs w:val="44"/>
          <w:lang w:val="en-US"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>年预算</w:t>
      </w:r>
    </w:p>
    <w:p w14:paraId="6111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>公开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目录</w:t>
      </w:r>
    </w:p>
    <w:p w14:paraId="6B43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黑体" w:eastAsia="黑体" w:hAnsi="黑体" w:hint="eastAsia"/>
          <w:sz w:val="30"/>
          <w:szCs w:val="30"/>
        </w:rPr>
      </w:pPr>
    </w:p>
    <w:p w14:paraId="7A186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第一部分 </w:t>
      </w:r>
      <w:r>
        <w:rPr>
          <w:rFonts w:ascii="黑体" w:eastAsia="黑体" w:hAnsi="黑体" w:hint="eastAsia"/>
          <w:sz w:val="32"/>
          <w:szCs w:val="32"/>
          <w:lang w:eastAsia="zh-CN"/>
        </w:rPr>
        <w:t>玉溪市红塔区水利管理站</w:t>
      </w:r>
      <w:r>
        <w:rPr>
          <w:rFonts w:ascii="Times New Roman" w:eastAsia="黑体" w:hAnsi="Times New Roman" w:hint="eastAsia"/>
          <w:sz w:val="32"/>
          <w:szCs w:val="32"/>
          <w:lang w:val="en-US" w:eastAsia="zh-CN"/>
        </w:rPr>
        <w:t>2024</w:t>
      </w:r>
      <w:r>
        <w:rPr>
          <w:rFonts w:ascii="黑体" w:eastAsia="黑体" w:hAnsi="黑体" w:hint="eastAsia"/>
          <w:sz w:val="32"/>
          <w:szCs w:val="32"/>
        </w:rPr>
        <w:t>年部门预算编制说明</w:t>
      </w:r>
    </w:p>
    <w:p w14:paraId="16252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一、基本职能及主要工作</w:t>
      </w:r>
    </w:p>
    <w:p w14:paraId="50FF0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二、预算单位基本情况</w:t>
      </w:r>
    </w:p>
    <w:p w14:paraId="50049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三、预算单位收入情况</w:t>
      </w:r>
    </w:p>
    <w:p w14:paraId="7CE25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>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预算单位支出情况</w:t>
      </w:r>
    </w:p>
    <w:p w14:paraId="4A6F6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>五、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对下专项转移支付情况</w:t>
      </w:r>
    </w:p>
    <w:p w14:paraId="2D88D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>六、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政府采购预算情况</w:t>
      </w:r>
    </w:p>
    <w:p w14:paraId="16ED1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七、部门“三公”经费增减变化情况及原因说明</w:t>
      </w:r>
    </w:p>
    <w:p w14:paraId="1090F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八、重点项目预算绩效目标情况</w:t>
      </w:r>
    </w:p>
    <w:p w14:paraId="50B1C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九、其他公开信息</w:t>
      </w:r>
    </w:p>
    <w:p w14:paraId="672A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第二部分 </w:t>
      </w:r>
      <w:r>
        <w:rPr>
          <w:rFonts w:ascii="黑体" w:eastAsia="黑体" w:hAnsi="黑体" w:hint="eastAsia"/>
          <w:sz w:val="32"/>
          <w:szCs w:val="32"/>
          <w:lang w:eastAsia="zh-CN"/>
        </w:rPr>
        <w:t>玉溪市红塔区水利管理站</w:t>
      </w:r>
      <w:r>
        <w:rPr>
          <w:rFonts w:ascii="Times New Roman" w:eastAsia="黑体" w:hAnsi="Times New Roman" w:hint="eastAsia"/>
          <w:sz w:val="32"/>
          <w:szCs w:val="32"/>
          <w:lang w:val="en-US" w:eastAsia="zh-CN"/>
        </w:rPr>
        <w:t>2024</w:t>
      </w:r>
      <w:r>
        <w:rPr>
          <w:rFonts w:ascii="黑体" w:eastAsia="黑体" w:hAnsi="黑体" w:hint="eastAsia"/>
          <w:sz w:val="32"/>
          <w:szCs w:val="32"/>
        </w:rPr>
        <w:t>年部门预算表</w:t>
      </w:r>
    </w:p>
    <w:p w14:paraId="7968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部门财务收支预算总表</w:t>
      </w:r>
    </w:p>
    <w:p w14:paraId="3B9A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二、部门收入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4D17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三、部门支出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4FCC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四、财政拨款收支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预算总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5C82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五、一般公共预算支出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（按功能科目分类）</w:t>
      </w:r>
    </w:p>
    <w:p w14:paraId="0B858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六、一般公共预算“三公”经费支出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1C50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七、部门</w:t>
      </w:r>
      <w:r>
        <w:rPr>
          <w:rFonts w:ascii="Times New Roman" w:eastAsia="仿宋_GB2312" w:hAnsi="Times New Roman" w:hint="eastAsia"/>
          <w:sz w:val="32"/>
          <w:szCs w:val="32"/>
        </w:rPr>
        <w:t>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026F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八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部门项目支出预算表</w:t>
      </w:r>
    </w:p>
    <w:p w14:paraId="2B21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部门项目绩效目标表</w:t>
      </w:r>
    </w:p>
    <w:p w14:paraId="3963B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十、政府性基金预算支出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3271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hint="eastAsia"/>
          <w:sz w:val="32"/>
          <w:szCs w:val="32"/>
        </w:rPr>
        <w:t>、部门政府采购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04809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二、政府购买服务预算表</w:t>
      </w:r>
    </w:p>
    <w:p w14:paraId="13F3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十三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对下转移支付预算表</w:t>
      </w:r>
    </w:p>
    <w:p w14:paraId="7D85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四</w:t>
      </w:r>
      <w:r>
        <w:rPr>
          <w:rFonts w:ascii="Times New Roman" w:eastAsia="仿宋_GB2312" w:hAnsi="Times New Roman" w:hint="eastAsia"/>
          <w:sz w:val="32"/>
          <w:szCs w:val="32"/>
        </w:rPr>
        <w:t>、对下转移支付绩效目标表</w:t>
      </w:r>
    </w:p>
    <w:p w14:paraId="0293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十五、新增资产配置表</w:t>
      </w:r>
    </w:p>
    <w:p w14:paraId="3A2C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十六、上级补助项目支出预算表</w:t>
      </w:r>
    </w:p>
    <w:p w14:paraId="23B0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十七、部门项目中期规划预算表</w:t>
      </w:r>
    </w:p>
    <w:p w14:paraId="6CE3D74D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6FF55CFC">
      <w:pPr>
        <w:pStyle w:val="BodyTex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453C0F52">
      <w:pPr>
        <w:pStyle w:val="BodyTex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0FF6EB8B">
      <w:pPr>
        <w:pStyle w:val="BodyTex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2FEBC4DD">
      <w:pPr>
        <w:pStyle w:val="BodyTex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5D3A68D2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14:paraId="6ED2892F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14:paraId="745C5494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14:paraId="3807D2AD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14:paraId="3F821B0A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14:paraId="53324BBD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eastAsia="zh-CN"/>
        </w:rPr>
        <w:t>玉溪市红塔区水利管理站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en-US" w:eastAsia="zh-CN"/>
        </w:rPr>
        <w:t>2024</w:t>
      </w:r>
      <w:r>
        <w:rPr>
          <w:rFonts w:ascii="方正小标宋简体" w:eastAsia="方正小标宋简体" w:hint="eastAsia"/>
          <w:kern w:val="0"/>
          <w:sz w:val="44"/>
          <w:szCs w:val="44"/>
        </w:rPr>
        <w:t>年部门</w:t>
      </w:r>
    </w:p>
    <w:p w14:paraId="2FC147C5">
      <w:pPr>
        <w:widowControl/>
        <w:ind w:firstLine="880" w:firstLineChars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预算编制说明</w:t>
      </w:r>
    </w:p>
    <w:p w14:paraId="0EF29685">
      <w:pPr>
        <w:widowControl/>
        <w:ind w:firstLine="720" w:firstLineChars="20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14:paraId="2EA18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一、基本职能及主要工作</w:t>
      </w:r>
    </w:p>
    <w:p w14:paraId="0B9EF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（一）部门主要职责</w:t>
      </w:r>
    </w:p>
    <w:p w14:paraId="77292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.按规定制定水利工程建设有关制度并组织实施，按玉溪市红塔区人民政府规定权限审批、核准红塔区规划内和年度计划规模内固定资产投资项目，提出水利资金安排建议并负责项目的组织实施、监督管理。</w:t>
      </w:r>
    </w:p>
    <w:p w14:paraId="65666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.指导全区水资源保护工作。参与编制并实施水资源保护规划。参与全区饮用水水源保护有关工作，参与地下水开发利用和地下水资源管理保护。参与地下水超采区综合治理。</w:t>
      </w:r>
    </w:p>
    <w:p w14:paraId="72730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.负责节约用水工作。拟订节约用水政策，组织编制节约用水规划并监督实施，组织制定有关标准。组织实施用水总量控制等管理制度，指导和推动节水型社会建设工作。</w:t>
      </w:r>
    </w:p>
    <w:p w14:paraId="48C78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.对河库和地下水实施监测，按规定组织开展水资源承载能力监测预警工作。</w:t>
      </w:r>
    </w:p>
    <w:p w14:paraId="6FBAA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.负责水利设施的管理、保护与综合利用。组织指导水利基础设施网络建设。负责河道的治理、开发和保护。负责河道水生态保护与修复、河生态流量水量管理以及河水系连通工作。</w:t>
      </w:r>
    </w:p>
    <w:p w14:paraId="33DE8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（二）机构设置情况</w:t>
      </w:r>
    </w:p>
    <w:p w14:paraId="3C0D2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default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红塔区水利管理站无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内设机构。</w:t>
      </w:r>
    </w:p>
    <w:p w14:paraId="1F0F0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highlight w:val="none"/>
          <w:lang w:eastAsia="zh-CN"/>
        </w:rPr>
      </w:pP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红塔区水利管理站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无所属单位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。</w:t>
      </w:r>
    </w:p>
    <w:p w14:paraId="6A5AD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ascii="楷体_GB2312" w:eastAsia="楷体_GB2312" w:hint="eastAsia"/>
          <w:kern w:val="0"/>
          <w:sz w:val="32"/>
          <w:szCs w:val="32"/>
        </w:rPr>
        <w:t>三</w:t>
      </w:r>
      <w:r>
        <w:rPr>
          <w:rFonts w:ascii="楷体_GB2312" w:eastAsia="楷体_GB2312"/>
          <w:kern w:val="0"/>
          <w:sz w:val="32"/>
          <w:szCs w:val="32"/>
        </w:rPr>
        <w:t>）重点工作概述</w:t>
      </w:r>
    </w:p>
    <w:p w14:paraId="3DCB3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80" w:lineRule="exact"/>
        <w:ind w:left="0" w:firstLine="640" w:firstLineChars="200"/>
        <w:jc w:val="left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紧扣“水利工程补短板、水利行业强监管”的总基调，进一步提高政治站位，强化水利基础工作。进一步强化思想认识，提高政治站位，增强“四个意识”，坚定“四个自信”，坚决做到“两个维护”，积极履职，确实把握好水利工作的正确方向，切实增强做好水利脱贫攻坚工作的政治自觉、思想自觉和行动自觉。</w:t>
      </w:r>
    </w:p>
    <w:p w14:paraId="30989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80" w:lineRule="exact"/>
        <w:ind w:left="0" w:firstLine="640" w:firstLineChars="200"/>
        <w:jc w:val="left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紧扣水利部门的工作职能，着力抓好水利工程项目建设工作。重点做好饮水安全巩固提升工程的监督指导工作，指导、跟踪、督促涉及项目建设任务的相关乡（街道）组织实施好项目建设工作，不断解决贫困地区群众生产生活用水实际困难，进一步巩固提升贫困地区人饮安全、改善贫困地区人民群众生产用水条件。</w:t>
      </w:r>
    </w:p>
    <w:p w14:paraId="0DD5E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80" w:lineRule="exact"/>
        <w:ind w:left="0" w:firstLine="640" w:firstLineChars="200"/>
        <w:jc w:val="left"/>
        <w:textAlignment w:val="auto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积极争取上级资金补助，减轻地方财政压力。继续向上争取资金实施农村饮水安全巩固提升工程、小型病险水库除险加固工程等项目建设，将项目与上级政策、资金对接，凡是符合中央、省、市申报要求的贫困地区水利项目都争取列入实施范围，充分利用好上级政策资金，减轻地方财政压力。</w:t>
      </w:r>
    </w:p>
    <w:p w14:paraId="78277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二、预算单位基本情况</w:t>
      </w:r>
    </w:p>
    <w:p w14:paraId="0BDC6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我部门编制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eastAsia="仿宋_GB2312"/>
          <w:kern w:val="0"/>
          <w:sz w:val="32"/>
          <w:szCs w:val="32"/>
          <w:highlight w:val="none"/>
        </w:rPr>
        <w:t>年部门预算单位共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highlight w:val="none"/>
        </w:rPr>
        <w:t>个。其中：财政</w:t>
      </w:r>
      <w:r>
        <w:rPr>
          <w:rFonts w:eastAsia="仿宋_GB2312" w:hint="eastAsia"/>
          <w:kern w:val="0"/>
          <w:sz w:val="32"/>
          <w:szCs w:val="32"/>
          <w:highlight w:val="none"/>
        </w:rPr>
        <w:t>全额</w:t>
      </w:r>
      <w:r>
        <w:rPr>
          <w:rFonts w:eastAsia="仿宋_GB2312"/>
          <w:kern w:val="0"/>
          <w:sz w:val="32"/>
          <w:szCs w:val="32"/>
          <w:highlight w:val="none"/>
        </w:rPr>
        <w:t>供给单位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highlight w:val="none"/>
        </w:rPr>
        <w:t>个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 w:hint="eastAsia"/>
          <w:kern w:val="0"/>
          <w:sz w:val="32"/>
          <w:szCs w:val="32"/>
          <w:highlight w:val="none"/>
        </w:rPr>
        <w:t>差额</w:t>
      </w:r>
      <w:r>
        <w:rPr>
          <w:rFonts w:eastAsia="仿宋_GB2312"/>
          <w:kern w:val="0"/>
          <w:sz w:val="32"/>
          <w:szCs w:val="32"/>
          <w:highlight w:val="none"/>
        </w:rPr>
        <w:t>供给单位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 w:hint="eastAsia"/>
          <w:kern w:val="0"/>
          <w:sz w:val="32"/>
          <w:szCs w:val="32"/>
          <w:highlight w:val="none"/>
        </w:rPr>
        <w:t>定额补助</w:t>
      </w:r>
      <w:r>
        <w:rPr>
          <w:rFonts w:eastAsia="仿宋_GB2312"/>
          <w:kern w:val="0"/>
          <w:sz w:val="32"/>
          <w:szCs w:val="32"/>
          <w:highlight w:val="none"/>
        </w:rPr>
        <w:t>单位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kern w:val="0"/>
          <w:sz w:val="32"/>
          <w:szCs w:val="32"/>
          <w:highlight w:val="none"/>
        </w:rPr>
        <w:t>自收自支单位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个。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财政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全额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供给单位中行政单位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个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参公单位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个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事业单位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个。</w:t>
      </w:r>
      <w:r>
        <w:rPr>
          <w:rFonts w:eastAsia="仿宋_GB2312"/>
          <w:kern w:val="0"/>
          <w:sz w:val="32"/>
          <w:szCs w:val="32"/>
          <w:highlight w:val="none"/>
        </w:rPr>
        <w:t>截止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eastAsia="仿宋_GB2312"/>
          <w:kern w:val="0"/>
          <w:sz w:val="32"/>
          <w:szCs w:val="32"/>
          <w:highlight w:val="none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  <w:highlight w:val="none"/>
        </w:rPr>
        <w:t>12</w:t>
      </w:r>
      <w:r>
        <w:rPr>
          <w:rFonts w:eastAsia="仿宋_GB2312"/>
          <w:kern w:val="0"/>
          <w:sz w:val="32"/>
          <w:szCs w:val="32"/>
          <w:highlight w:val="none"/>
        </w:rPr>
        <w:t>月统计，部门基本情况如下：</w:t>
      </w:r>
    </w:p>
    <w:p w14:paraId="0E983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在职人员编制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eastAsia="仿宋_GB2312"/>
          <w:kern w:val="0"/>
          <w:sz w:val="32"/>
          <w:szCs w:val="32"/>
          <w:highlight w:val="none"/>
        </w:rPr>
        <w:t>人，其中：行政编制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人，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工勤人员编制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kern w:val="0"/>
          <w:sz w:val="32"/>
          <w:szCs w:val="32"/>
          <w:highlight w:val="none"/>
        </w:rPr>
        <w:t>事业编制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eastAsia="仿宋_GB2312"/>
          <w:kern w:val="0"/>
          <w:sz w:val="32"/>
          <w:szCs w:val="32"/>
          <w:highlight w:val="none"/>
        </w:rPr>
        <w:t>人。在职实有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eastAsia="仿宋_GB2312"/>
          <w:kern w:val="0"/>
          <w:sz w:val="32"/>
          <w:szCs w:val="32"/>
          <w:highlight w:val="none"/>
        </w:rPr>
        <w:t>人，其中： 财政</w:t>
      </w:r>
      <w:r>
        <w:rPr>
          <w:rFonts w:eastAsia="仿宋_GB2312" w:hint="eastAsia"/>
          <w:kern w:val="0"/>
          <w:sz w:val="32"/>
          <w:szCs w:val="32"/>
          <w:highlight w:val="none"/>
        </w:rPr>
        <w:t>全额保障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eastAsia="仿宋_GB2312"/>
          <w:kern w:val="0"/>
          <w:sz w:val="32"/>
          <w:szCs w:val="32"/>
          <w:highlight w:val="none"/>
        </w:rPr>
        <w:t>人，财政</w:t>
      </w:r>
      <w:r>
        <w:rPr>
          <w:rFonts w:eastAsia="仿宋_GB2312" w:hint="eastAsia"/>
          <w:kern w:val="0"/>
          <w:sz w:val="32"/>
          <w:szCs w:val="32"/>
          <w:highlight w:val="none"/>
        </w:rPr>
        <w:t>差额补助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人，</w:t>
      </w:r>
      <w:r>
        <w:rPr>
          <w:rFonts w:eastAsia="仿宋_GB2312" w:hint="eastAsia"/>
          <w:kern w:val="0"/>
          <w:sz w:val="32"/>
          <w:szCs w:val="32"/>
          <w:highlight w:val="none"/>
        </w:rPr>
        <w:t>财政专户资金、单位资金保障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人。</w:t>
      </w:r>
    </w:p>
    <w:p w14:paraId="6F21D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离退休人员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kern w:val="0"/>
          <w:sz w:val="32"/>
          <w:szCs w:val="32"/>
        </w:rPr>
        <w:t xml:space="preserve">人，其中： 离休 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 xml:space="preserve">人，退休 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kern w:val="0"/>
          <w:sz w:val="32"/>
          <w:szCs w:val="32"/>
        </w:rPr>
        <w:t>人。</w:t>
      </w:r>
    </w:p>
    <w:p w14:paraId="5E315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车辆编制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辆，实有车辆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辆</w:t>
      </w:r>
      <w:r>
        <w:rPr>
          <w:rFonts w:eastAsia="仿宋_GB2312" w:hint="eastAsia"/>
          <w:kern w:val="0"/>
          <w:sz w:val="32"/>
          <w:szCs w:val="32"/>
          <w:lang w:eastAsia="zh-CN"/>
        </w:rPr>
        <w:t>，超编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辆。</w:t>
      </w:r>
    </w:p>
    <w:p w14:paraId="66E8D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三、预算单位收入情况</w:t>
      </w:r>
    </w:p>
    <w:p w14:paraId="441E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（一）部门财务收入情况</w:t>
      </w:r>
    </w:p>
    <w:p w14:paraId="27B4A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/>
          <w:kern w:val="0"/>
          <w:sz w:val="32"/>
          <w:szCs w:val="32"/>
        </w:rPr>
        <w:t>年部门财务总收入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kern w:val="0"/>
          <w:sz w:val="32"/>
          <w:szCs w:val="32"/>
        </w:rPr>
        <w:t>万元，其中：一般公共预算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kern w:val="0"/>
          <w:sz w:val="32"/>
          <w:szCs w:val="32"/>
        </w:rPr>
        <w:t>万元，政府性基金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万元，国有资本经营</w:t>
      </w:r>
      <w:r>
        <w:rPr>
          <w:rFonts w:eastAsia="仿宋_GB2312" w:hint="eastAsia"/>
          <w:kern w:val="0"/>
          <w:sz w:val="32"/>
          <w:szCs w:val="32"/>
        </w:rPr>
        <w:t>收益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  <w:lang w:eastAsia="zh-CN"/>
        </w:rPr>
        <w:t>财政专户管理资金收入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事业收入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万元，事业单位经营收入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，上级补助收入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，附属单位上缴收入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万元，其他收入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万元。</w:t>
      </w:r>
    </w:p>
    <w:p w14:paraId="77642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与上年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612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03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对比</w:t>
      </w:r>
      <w:r>
        <w:rPr>
          <w:rFonts w:eastAsia="仿宋_GB2312" w:hint="eastAsia"/>
          <w:kern w:val="0"/>
          <w:sz w:val="32"/>
          <w:szCs w:val="32"/>
          <w:lang w:eastAsia="zh-CN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33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74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  <w:lang w:eastAsia="zh-CN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51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%，</w:t>
      </w:r>
      <w:r>
        <w:rPr>
          <w:rFonts w:eastAsia="仿宋_GB2312" w:hint="eastAsia"/>
          <w:kern w:val="0"/>
          <w:sz w:val="32"/>
          <w:szCs w:val="32"/>
        </w:rPr>
        <w:t>主要原因</w:t>
      </w:r>
      <w:r>
        <w:rPr>
          <w:rFonts w:eastAsia="仿宋_GB2312" w:hint="eastAsia"/>
          <w:kern w:val="0"/>
          <w:sz w:val="32"/>
          <w:szCs w:val="32"/>
          <w:lang w:eastAsia="zh-CN"/>
        </w:rPr>
        <w:t>是正常人员薪级晋升造成的预算收入上涨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29589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（二）财政拨款收入情况</w:t>
      </w:r>
    </w:p>
    <w:p w14:paraId="03A04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/>
          <w:kern w:val="0"/>
          <w:sz w:val="32"/>
          <w:szCs w:val="32"/>
        </w:rPr>
        <w:t>年部门财政拨款收入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kern w:val="0"/>
          <w:sz w:val="32"/>
          <w:szCs w:val="32"/>
        </w:rPr>
        <w:t>万元，其中:本年收入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kern w:val="0"/>
          <w:sz w:val="32"/>
          <w:szCs w:val="32"/>
        </w:rPr>
        <w:t>万元，上年结转</w:t>
      </w:r>
      <w:r>
        <w:rPr>
          <w:rFonts w:eastAsia="仿宋_GB2312" w:hint="eastAsia"/>
          <w:kern w:val="0"/>
          <w:sz w:val="32"/>
          <w:szCs w:val="32"/>
        </w:rPr>
        <w:t>收入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万元。本年收入中，一般公共预算财政拨款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kern w:val="0"/>
          <w:sz w:val="32"/>
          <w:szCs w:val="32"/>
        </w:rPr>
        <w:t>万元，政府性基金</w:t>
      </w:r>
      <w:r>
        <w:rPr>
          <w:rFonts w:eastAsia="仿宋_GB2312" w:hint="eastAsia"/>
          <w:kern w:val="0"/>
          <w:sz w:val="32"/>
          <w:szCs w:val="32"/>
        </w:rPr>
        <w:t>预算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万元，国有资本经营</w:t>
      </w:r>
      <w:r>
        <w:rPr>
          <w:rFonts w:eastAsia="仿宋_GB2312" w:hint="eastAsia"/>
          <w:kern w:val="0"/>
          <w:sz w:val="32"/>
          <w:szCs w:val="32"/>
        </w:rPr>
        <w:t>收益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万元。</w:t>
      </w:r>
    </w:p>
    <w:p w14:paraId="6CC77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与上年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612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03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对比</w:t>
      </w:r>
      <w:r>
        <w:rPr>
          <w:rFonts w:eastAsia="仿宋_GB2312" w:hint="eastAsia"/>
          <w:kern w:val="0"/>
          <w:sz w:val="32"/>
          <w:szCs w:val="32"/>
          <w:lang w:eastAsia="zh-CN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33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74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  <w:lang w:eastAsia="zh-CN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51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%，</w:t>
      </w:r>
      <w:r>
        <w:rPr>
          <w:rFonts w:eastAsia="仿宋_GB2312" w:hint="eastAsia"/>
          <w:kern w:val="0"/>
          <w:sz w:val="32"/>
          <w:szCs w:val="32"/>
        </w:rPr>
        <w:t>主要原因</w:t>
      </w:r>
      <w:r>
        <w:rPr>
          <w:rFonts w:eastAsia="仿宋_GB2312" w:hint="eastAsia"/>
          <w:kern w:val="0"/>
          <w:sz w:val="32"/>
          <w:szCs w:val="32"/>
          <w:lang w:eastAsia="zh-CN"/>
        </w:rPr>
        <w:t>是正常人员薪级晋升造成的预算收入上涨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512F80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预算单位支出情况</w:t>
      </w:r>
    </w:p>
    <w:p w14:paraId="6F67E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color w:val="auto"/>
          <w:kern w:val="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 xml:space="preserve">年部门预算总支出 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  <w:r>
        <w:rPr>
          <w:rFonts w:eastAsia="仿宋_GB2312" w:hint="eastAsia"/>
          <w:color w:val="auto"/>
          <w:kern w:val="0"/>
          <w:sz w:val="32"/>
          <w:szCs w:val="32"/>
        </w:rPr>
        <w:t>财政拨款</w:t>
      </w:r>
      <w:r>
        <w:rPr>
          <w:rFonts w:eastAsia="仿宋_GB2312"/>
          <w:color w:val="auto"/>
          <w:kern w:val="0"/>
          <w:sz w:val="32"/>
          <w:szCs w:val="32"/>
        </w:rPr>
        <w:t xml:space="preserve">安排支出 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645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auto"/>
          <w:kern w:val="0"/>
          <w:sz w:val="32"/>
          <w:szCs w:val="32"/>
        </w:rPr>
        <w:t>万元，其中</w:t>
      </w:r>
      <w:r>
        <w:rPr>
          <w:rFonts w:eastAsia="仿宋_GB2312" w:hint="eastAsia"/>
          <w:color w:val="auto"/>
          <w:kern w:val="0"/>
          <w:sz w:val="32"/>
          <w:szCs w:val="32"/>
        </w:rPr>
        <w:t>：</w:t>
      </w:r>
      <w:r>
        <w:rPr>
          <w:rFonts w:eastAsia="仿宋_GB2312"/>
          <w:color w:val="auto"/>
          <w:kern w:val="0"/>
          <w:sz w:val="32"/>
          <w:szCs w:val="32"/>
        </w:rPr>
        <w:t>基本支出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642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，与上年对比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增加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，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增长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5.53%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eastAsia="仿宋_GB2312" w:hint="eastAsia"/>
          <w:color w:val="auto"/>
          <w:kern w:val="0"/>
          <w:sz w:val="32"/>
          <w:szCs w:val="32"/>
        </w:rPr>
        <w:t>主要原因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是人员经费和公用经费增加</w:t>
      </w:r>
      <w:r>
        <w:rPr>
          <w:rFonts w:eastAsia="仿宋_GB2312" w:hint="eastAsia"/>
          <w:color w:val="auto"/>
          <w:kern w:val="0"/>
          <w:sz w:val="32"/>
          <w:szCs w:val="32"/>
        </w:rPr>
        <w:t>；</w:t>
      </w:r>
      <w:r>
        <w:rPr>
          <w:rFonts w:eastAsia="仿宋_GB2312"/>
          <w:color w:val="auto"/>
          <w:kern w:val="0"/>
          <w:sz w:val="32"/>
          <w:szCs w:val="32"/>
        </w:rPr>
        <w:t>项目支出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，与上年对比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增加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09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，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增长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2.66%，</w:t>
      </w:r>
      <w:r>
        <w:rPr>
          <w:rFonts w:eastAsia="仿宋_GB2312" w:hint="eastAsia"/>
          <w:color w:val="auto"/>
          <w:kern w:val="0"/>
          <w:sz w:val="32"/>
          <w:szCs w:val="32"/>
          <w:lang w:eastAsia="zh-CN"/>
        </w:rPr>
        <w:t>主要原因分析是遗属生活补助增加。</w:t>
      </w:r>
    </w:p>
    <w:p w14:paraId="5384F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财政拨款安排支出按功能科目分类情况，主要用于：208-社会保障和就业支出122.72万元，其中，2080502-事业单位离退休24.00万元，2080505-机关事业单位基本养老保险缴费支出59.91万元，2080506-机关事业单位职业年金缴费支出35.34万元，2080801-死亡抚恤3.47万元；210-卫生健康支出53.89万元，其中，2101102-事业单位医疗31.08万元，2101103-公务员医疗补助19.55万元，2101199-其他行政事业单位医疗支出3.26万元；213-农林水支出414.85万元，其中2130399-其他水利支出414.85万元；221-住房保障支出54.31万元，其中，2210201-住房公积金54.31万元。</w:t>
      </w:r>
    </w:p>
    <w:p w14:paraId="5E45E9D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对下</w:t>
      </w:r>
      <w:r>
        <w:rPr>
          <w:rFonts w:ascii="黑体" w:eastAsia="黑体" w:hAnsi="黑体" w:hint="eastAsia"/>
          <w:kern w:val="0"/>
          <w:sz w:val="32"/>
          <w:szCs w:val="32"/>
        </w:rPr>
        <w:t>专</w:t>
      </w:r>
      <w:r>
        <w:rPr>
          <w:rFonts w:ascii="黑体" w:eastAsia="黑体" w:hAnsi="黑体"/>
          <w:kern w:val="0"/>
          <w:sz w:val="32"/>
          <w:szCs w:val="32"/>
        </w:rPr>
        <w:t>项转移支付情况</w:t>
      </w:r>
    </w:p>
    <w:p w14:paraId="676BE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玉溪市红塔区水利管理站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无对下专项转移支付事项。</w:t>
      </w:r>
    </w:p>
    <w:p w14:paraId="29BB0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六、政府采购预算情况</w:t>
      </w:r>
    </w:p>
    <w:p w14:paraId="31033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根据《中华人民共和国政府采购法》的有关规定，编制了政府采购预算，共涉及采购项目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个，</w:t>
      </w:r>
      <w:r>
        <w:rPr>
          <w:rFonts w:eastAsia="仿宋_GB2312" w:hint="eastAsia"/>
          <w:color w:val="auto"/>
          <w:kern w:val="0"/>
          <w:sz w:val="32"/>
          <w:szCs w:val="32"/>
        </w:rPr>
        <w:t>政府</w:t>
      </w:r>
      <w:r>
        <w:rPr>
          <w:rFonts w:eastAsia="仿宋_GB2312"/>
          <w:color w:val="auto"/>
          <w:kern w:val="0"/>
          <w:sz w:val="32"/>
          <w:szCs w:val="32"/>
        </w:rPr>
        <w:t>采购预算</w:t>
      </w:r>
      <w:r>
        <w:rPr>
          <w:rFonts w:eastAsia="仿宋_GB2312" w:hint="eastAsia"/>
          <w:color w:val="auto"/>
          <w:kern w:val="0"/>
          <w:sz w:val="32"/>
          <w:szCs w:val="32"/>
        </w:rPr>
        <w:t>总额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，其中：政府采购货物预算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、政府采购服务预算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、政府采购工程预算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 w:hint="eastAsia"/>
          <w:color w:val="auto"/>
          <w:kern w:val="0"/>
          <w:sz w:val="32"/>
          <w:szCs w:val="32"/>
        </w:rPr>
        <w:t>。</w:t>
      </w:r>
    </w:p>
    <w:p w14:paraId="3E40A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七、部门“三公”经费增减变化情况及原因说明</w:t>
      </w:r>
    </w:p>
    <w:p w14:paraId="0262F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玉溪市红塔区水利管理站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eastAsia="仿宋_GB2312" w:hint="eastAsia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eastAsia="仿宋_GB2312" w:hint="eastAsia"/>
          <w:kern w:val="0"/>
          <w:sz w:val="32"/>
          <w:szCs w:val="32"/>
        </w:rPr>
        <w:t>合计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51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ascii="Times New Roman" w:eastAsia="仿宋_GB2312" w:hAnsi="Times New Roman" w:cs="Calibri" w:hint="default"/>
          <w:kern w:val="0"/>
          <w:sz w:val="32"/>
          <w:szCs w:val="32"/>
          <w:lang w:val="en-US" w:eastAsia="zh-CN"/>
        </w:rPr>
        <w:t>0</w:t>
      </w:r>
      <w:r>
        <w:rPr>
          <w:rFonts w:ascii="Calibri" w:eastAsia="仿宋_GB2312" w:hAnsi="Calibri" w:cs="Calibri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cs="Calibri" w:hint="default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 w:cs="Calibri" w:hint="default"/>
          <w:kern w:val="0"/>
          <w:sz w:val="32"/>
          <w:szCs w:val="32"/>
          <w:lang w:val="en-US" w:eastAsia="zh-CN"/>
        </w:rPr>
        <w:t>0</w:t>
      </w:r>
      <w:r>
        <w:rPr>
          <w:rFonts w:ascii="Calibri" w:eastAsia="仿宋_GB2312" w:hAnsi="Calibri" w:cs="Calibri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cs="Calibri" w:hint="default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，具体</w:t>
      </w:r>
      <w:r>
        <w:rPr>
          <w:rFonts w:eastAsia="仿宋_GB2312" w:hint="eastAsia"/>
          <w:kern w:val="0"/>
          <w:sz w:val="32"/>
          <w:szCs w:val="32"/>
          <w:lang w:eastAsia="zh-CN"/>
        </w:rPr>
        <w:t>变动</w:t>
      </w:r>
      <w:r>
        <w:rPr>
          <w:rFonts w:eastAsia="仿宋_GB2312" w:hint="eastAsia"/>
          <w:kern w:val="0"/>
          <w:sz w:val="32"/>
          <w:szCs w:val="32"/>
        </w:rPr>
        <w:t>情况如下：</w:t>
      </w:r>
    </w:p>
    <w:p w14:paraId="70BB8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 w14:paraId="53D0C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玉溪市红塔区水利管理站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eastAsia="仿宋_GB2312" w:hint="eastAsia"/>
          <w:kern w:val="0"/>
          <w:sz w:val="32"/>
          <w:szCs w:val="32"/>
        </w:rPr>
        <w:t>预算为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%，共计安排因公出国（境）团组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2640B4E3"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 w:hint="eastAsia"/>
          <w:lang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与上年相比无变化。</w:t>
      </w:r>
    </w:p>
    <w:p w14:paraId="61664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 w14:paraId="34974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玉溪市红塔区水利管理站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 w:hint="eastAsia"/>
          <w:kern w:val="0"/>
          <w:sz w:val="32"/>
          <w:szCs w:val="32"/>
        </w:rPr>
        <w:t>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97</w:t>
      </w:r>
      <w:r>
        <w:rPr>
          <w:rFonts w:eastAsia="仿宋_GB2312"/>
          <w:kern w:val="0"/>
          <w:sz w:val="32"/>
          <w:szCs w:val="32"/>
        </w:rPr>
        <w:t>万</w:t>
      </w:r>
      <w:r>
        <w:rPr>
          <w:rFonts w:eastAsia="仿宋_GB2312" w:hint="eastAsia"/>
          <w:kern w:val="0"/>
          <w:sz w:val="32"/>
          <w:szCs w:val="32"/>
        </w:rPr>
        <w:t>元，较上年增加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</w:rPr>
        <w:t>%，国内公务接待批次为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8</w:t>
      </w:r>
      <w:r>
        <w:rPr>
          <w:rFonts w:eastAsia="仿宋_GB2312" w:hint="eastAsia"/>
          <w:kern w:val="0"/>
          <w:sz w:val="32"/>
          <w:szCs w:val="32"/>
        </w:rPr>
        <w:t>次，共计接待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97</w:t>
      </w:r>
      <w:r>
        <w:rPr>
          <w:rFonts w:eastAsia="仿宋_GB2312" w:hint="eastAsia"/>
          <w:kern w:val="0"/>
          <w:sz w:val="32"/>
          <w:szCs w:val="32"/>
        </w:rPr>
        <w:t>人次。</w:t>
      </w:r>
    </w:p>
    <w:p w14:paraId="7FE7FF44"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与上年相比无变化。</w:t>
      </w:r>
    </w:p>
    <w:p w14:paraId="6A60E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 w14:paraId="642ED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玉溪市红塔区水利管理站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 w:hint="eastAsia"/>
          <w:kern w:val="0"/>
          <w:sz w:val="32"/>
          <w:szCs w:val="32"/>
        </w:rPr>
        <w:t>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54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%；公务用车运行维护费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54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54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100.00</w:t>
      </w:r>
      <w:r>
        <w:rPr>
          <w:rFonts w:eastAsia="仿宋_GB2312"/>
          <w:kern w:val="0"/>
          <w:sz w:val="32"/>
          <w:szCs w:val="32"/>
        </w:rPr>
        <w:t>%。共计购置公务用车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辆。</w:t>
      </w:r>
    </w:p>
    <w:p w14:paraId="1CDC444B"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eastAsia="仿宋_GB2312" w:hint="eastAsia"/>
          <w:kern w:val="0"/>
          <w:sz w:val="32"/>
          <w:szCs w:val="32"/>
          <w:lang w:eastAsia="zh-CN"/>
        </w:rPr>
        <w:t>与上年相比无变化。</w:t>
      </w:r>
    </w:p>
    <w:p w14:paraId="25DD3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八、重点项目预算绩效目标情况</w:t>
      </w:r>
    </w:p>
    <w:p w14:paraId="0C2AB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无。</w:t>
      </w:r>
    </w:p>
    <w:p w14:paraId="50118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九</w:t>
      </w:r>
      <w:r>
        <w:rPr>
          <w:rFonts w:ascii="黑体" w:eastAsia="黑体" w:hAnsi="黑体"/>
          <w:kern w:val="0"/>
          <w:sz w:val="32"/>
          <w:szCs w:val="32"/>
        </w:rPr>
        <w:t>、其他公开信息</w:t>
      </w:r>
    </w:p>
    <w:p w14:paraId="7FCCB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（一）专业名词解释</w:t>
      </w:r>
    </w:p>
    <w:p w14:paraId="0BB4D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firstLine="640" w:firstLineChars="200"/>
        <w:textAlignment w:val="auto"/>
        <w:rPr>
          <w:rFonts w:ascii="黑体" w:eastAsia="黑体" w:hAnsi="华文中宋"/>
          <w:sz w:val="32"/>
          <w:szCs w:val="32"/>
          <w:highlight w:val="none"/>
        </w:rPr>
      </w:pPr>
      <w:r>
        <w:rPr>
          <w:rFonts w:ascii="黑体" w:eastAsia="黑体" w:hAnsi="华文中宋" w:hint="eastAsia"/>
          <w:sz w:val="32"/>
          <w:szCs w:val="32"/>
          <w:highlight w:val="none"/>
        </w:rPr>
        <w:t>【一般公共预算收入】</w:t>
      </w:r>
    </w:p>
    <w:p w14:paraId="682C6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lang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 w14:paraId="32657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firstLine="640" w:firstLineChars="200"/>
        <w:textAlignment w:val="auto"/>
        <w:rPr>
          <w:rFonts w:ascii="黑体" w:eastAsia="黑体" w:hAnsi="华文中宋"/>
          <w:sz w:val="32"/>
          <w:szCs w:val="32"/>
          <w:highlight w:val="none"/>
        </w:rPr>
      </w:pPr>
      <w:r>
        <w:rPr>
          <w:rFonts w:ascii="黑体" w:eastAsia="黑体" w:hAnsi="华文中宋" w:hint="eastAsia"/>
          <w:sz w:val="32"/>
          <w:szCs w:val="32"/>
          <w:highlight w:val="none"/>
        </w:rPr>
        <w:t>【一般公共预算支出】</w:t>
      </w:r>
    </w:p>
    <w:p w14:paraId="729AA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lang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 w14:paraId="60718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firstLine="640" w:firstLineChars="200"/>
        <w:textAlignment w:val="auto"/>
        <w:rPr>
          <w:rFonts w:ascii="黑体" w:eastAsia="黑体" w:hAnsi="华文中宋"/>
          <w:sz w:val="32"/>
          <w:szCs w:val="32"/>
          <w:highlight w:val="none"/>
        </w:rPr>
      </w:pPr>
      <w:r>
        <w:rPr>
          <w:rFonts w:ascii="黑体" w:eastAsia="黑体" w:hAnsi="华文中宋" w:hint="eastAsia"/>
          <w:sz w:val="32"/>
          <w:szCs w:val="32"/>
          <w:highlight w:val="none"/>
        </w:rPr>
        <w:t>【三公经费】</w:t>
      </w:r>
    </w:p>
    <w:p w14:paraId="13F72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lang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“三公”经费预算数是指各部门从年初预算安排用于因公出国（境）费用、公务用车购置及运行维护费、公务接待费用的预算数。其中，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 w14:paraId="710B3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firstLine="640" w:firstLineChars="200"/>
        <w:textAlignment w:val="auto"/>
        <w:rPr>
          <w:rFonts w:ascii="黑体" w:eastAsia="黑体" w:hAnsi="华文中宋"/>
          <w:sz w:val="32"/>
          <w:szCs w:val="32"/>
          <w:highlight w:val="none"/>
        </w:rPr>
      </w:pPr>
      <w:r>
        <w:rPr>
          <w:rFonts w:ascii="黑体" w:eastAsia="黑体" w:hAnsi="华文中宋" w:hint="eastAsia"/>
          <w:sz w:val="32"/>
          <w:szCs w:val="32"/>
          <w:highlight w:val="none"/>
        </w:rPr>
        <w:t>【政府采购】</w:t>
      </w:r>
    </w:p>
    <w:p w14:paraId="10A4A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政府采购也称公共采购，是指各级国家机关、实行预算管理的事业单位和社会团体，采取竞争、择优、公开的形式，使用财政性资金，以购买、租赁、委托或雇佣等方法取得货物、工程和服务的行为。政府采购制度则是采购政策、采购方式、采购程序和组织形式等一系列政府采购管理规范的总称。</w:t>
      </w:r>
    </w:p>
    <w:p w14:paraId="6D00A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（二）机关运行经费安排</w:t>
      </w:r>
      <w:r>
        <w:rPr>
          <w:rFonts w:ascii="楷体_GB2312" w:eastAsia="楷体_GB2312" w:hint="eastAsia"/>
          <w:kern w:val="0"/>
          <w:sz w:val="32"/>
          <w:szCs w:val="32"/>
        </w:rPr>
        <w:t>变化情况及原因说明</w:t>
      </w:r>
    </w:p>
    <w:p w14:paraId="52C13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  <w:lang w:eastAsia="zh-CN"/>
        </w:rPr>
      </w:pP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玉溪市红塔区水利管理站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2024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  <w:lang w:eastAsia="zh-CN"/>
        </w:rPr>
        <w:t>无</w:t>
      </w:r>
      <w:r>
        <w:rPr>
          <w:rFonts w:eastAsia="仿宋_GB2312" w:hint="eastAsia"/>
          <w:kern w:val="0"/>
          <w:sz w:val="32"/>
          <w:szCs w:val="32"/>
        </w:rPr>
        <w:t>机关运行经费</w:t>
      </w:r>
      <w:r>
        <w:rPr>
          <w:rFonts w:eastAsia="仿宋_GB2312" w:hint="eastAsia"/>
          <w:kern w:val="0"/>
          <w:sz w:val="32"/>
          <w:szCs w:val="32"/>
          <w:lang w:eastAsia="zh-CN"/>
        </w:rPr>
        <w:t>。</w:t>
      </w:r>
      <w:r>
        <w:rPr>
          <w:rFonts w:eastAsia="仿宋_GB2312" w:hint="eastAsia"/>
          <w:kern w:val="0"/>
          <w:sz w:val="32"/>
          <w:szCs w:val="32"/>
        </w:rPr>
        <w:t>与上年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万元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对比增加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0.00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万元，增长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en-US" w:eastAsia="zh-CN"/>
        </w:rPr>
        <w:t>0.00%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，</w:t>
      </w:r>
      <w:r>
        <w:rPr>
          <w:rFonts w:eastAsia="仿宋_GB2312" w:hint="eastAsia"/>
          <w:kern w:val="0"/>
          <w:sz w:val="32"/>
          <w:szCs w:val="32"/>
        </w:rPr>
        <w:t>主要原因</w:t>
      </w:r>
      <w:r>
        <w:rPr>
          <w:rFonts w:eastAsia="仿宋_GB2312" w:hint="eastAsia"/>
          <w:kern w:val="0"/>
          <w:sz w:val="32"/>
          <w:szCs w:val="32"/>
          <w:lang w:eastAsia="zh-CN"/>
        </w:rPr>
        <w:t>为玉溪市红塔区水库管理所为公益一类事业单位，无此项经费。</w:t>
      </w:r>
    </w:p>
    <w:p w14:paraId="78563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ascii="楷体_GB2312" w:eastAsia="楷体_GB2312" w:hint="eastAsia"/>
          <w:kern w:val="0"/>
          <w:sz w:val="32"/>
          <w:szCs w:val="32"/>
          <w:lang w:eastAsia="zh-CN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 w14:paraId="6038F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ascii="Arial" w:eastAsia="Arial" w:hAnsi="Arial" w:cs="Arial"/>
          <w:b/>
          <w:sz w:val="36"/>
        </w:rPr>
      </w:pPr>
      <w:r>
        <w:rPr>
          <w:rFonts w:eastAsia="仿宋_GB2312" w:hint="eastAsia"/>
          <w:kern w:val="0"/>
          <w:sz w:val="32"/>
          <w:szCs w:val="32"/>
          <w:highlight w:val="none"/>
        </w:rPr>
        <w:t>截至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kern w:val="0"/>
          <w:sz w:val="32"/>
          <w:szCs w:val="32"/>
          <w:highlight w:val="none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</w:rPr>
        <w:t>12</w:t>
      </w:r>
      <w:r>
        <w:rPr>
          <w:rFonts w:eastAsia="仿宋_GB2312" w:hint="eastAsia"/>
          <w:kern w:val="0"/>
          <w:sz w:val="32"/>
          <w:szCs w:val="32"/>
          <w:highlight w:val="none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</w:rPr>
        <w:t>31</w:t>
      </w:r>
      <w:r>
        <w:rPr>
          <w:rFonts w:eastAsia="仿宋_GB2312" w:hint="eastAsia"/>
          <w:kern w:val="0"/>
          <w:sz w:val="32"/>
          <w:szCs w:val="32"/>
          <w:highlight w:val="none"/>
        </w:rPr>
        <w:t>日，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玉溪市红塔区水利管理站</w:t>
      </w:r>
      <w:r>
        <w:rPr>
          <w:rFonts w:eastAsia="仿宋_GB2312" w:hint="eastAsia"/>
          <w:kern w:val="0"/>
          <w:sz w:val="32"/>
          <w:szCs w:val="32"/>
          <w:highlight w:val="none"/>
        </w:rPr>
        <w:t>资产总额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万元，其中，流动资产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83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万元，固定资产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万元，对外投资及有价证券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万元，在建工程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万元，无形资产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万元，其他资产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万元。与上年相比，本年资产总额</w:t>
      </w:r>
      <w:r>
        <w:rPr>
          <w:rFonts w:eastAsia="仿宋_GB2312" w:hint="eastAsia"/>
          <w:kern w:val="0"/>
          <w:sz w:val="32"/>
          <w:szCs w:val="32"/>
          <w:highlight w:val="none"/>
          <w:lang w:eastAsia="zh-CN"/>
        </w:rPr>
        <w:t>减少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万元，其中固定资产增加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eastAsia="仿宋_GB2312" w:hint="eastAsia"/>
          <w:kern w:val="0"/>
          <w:sz w:val="32"/>
          <w:szCs w:val="32"/>
          <w:highlight w:val="none"/>
        </w:rPr>
        <w:t>万元。处置房屋建筑物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bookmarkStart w:id="0" w:name="_GoBack"/>
      <w:bookmarkEnd w:id="0"/>
      <w:r>
        <w:rPr>
          <w:rFonts w:eastAsia="仿宋_GB2312" w:hint="eastAsia"/>
          <w:kern w:val="0"/>
          <w:sz w:val="32"/>
          <w:szCs w:val="32"/>
          <w:highlight w:val="none"/>
        </w:rPr>
        <w:t>平方米，账面原值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万元；处置车辆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</w:rPr>
        <w:t>辆，账面原值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万元；报废报损资产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</w:rPr>
        <w:t>项，账面原值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万元，实现资产处置收入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万元；资产使用收入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万元，其中出租资产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平方米，资产出租收入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 w:hint="eastAsia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eastAsia="仿宋_GB2312" w:hint="eastAsia"/>
          <w:kern w:val="0"/>
          <w:sz w:val="32"/>
          <w:szCs w:val="32"/>
          <w:highlight w:val="none"/>
        </w:rPr>
        <w:t>万元。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鉴于截至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202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年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12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月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31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日的国有资产占有使用精准数据，需在完成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202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年决算编制后才能汇总，此处公开为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202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年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</w:rPr>
        <w:t>1</w:t>
      </w:r>
      <w:r>
        <w:rPr>
          <w:rFonts w:ascii="Times New Roman" w:eastAsia="仿宋_GB2312" w:hAnsi="Times New Roman" w:hint="eastAsia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 w:hint="eastAsia"/>
          <w:color w:val="auto"/>
          <w:kern w:val="0"/>
          <w:sz w:val="32"/>
          <w:szCs w:val="32"/>
          <w:highlight w:val="none"/>
        </w:rPr>
        <w:t>月资产月报数据。</w:t>
      </w:r>
    </w:p>
    <w:p w14:paraId="509B6F80">
      <w:pPr>
        <w:rPr>
          <w:rFonts w:ascii="Arial" w:eastAsia="Arial" w:hAnsi="Arial" w:cs="Arial"/>
          <w:b/>
          <w:sz w:val="36"/>
        </w:rPr>
      </w:pP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监督索引号53040200233200200111</w:t>
      </w:r>
    </w:p>
    <w:sectPr>
      <w:headerReference w:type="even" r:id="rId5"/>
      <w:headerReference w:type="default" r:id="rId6"/>
      <w:footerReference w:type="default" r:id="rId7"/>
      <w:pgSz w:w="11906" w:h="16838"/>
      <w:pgMar w:top="2098" w:right="1474" w:bottom="1984" w:left="158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C8C9B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hint="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D62EAA7">
                    <w:pPr>
                      <w:pStyle w:val="Footer"/>
                      <w:rPr>
                        <w:rFonts w:ascii="宋体" w:eastAsia="宋体" w:hAnsi="宋体" w:hint="eastAsia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63ECA6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F67260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E77E7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2C4191"/>
    <w:rsid w:val="018B30C2"/>
    <w:rsid w:val="02C265F9"/>
    <w:rsid w:val="03054F5D"/>
    <w:rsid w:val="035C18F9"/>
    <w:rsid w:val="03997AC2"/>
    <w:rsid w:val="03F0214E"/>
    <w:rsid w:val="04314F30"/>
    <w:rsid w:val="045C2ADF"/>
    <w:rsid w:val="046F214C"/>
    <w:rsid w:val="04F44A98"/>
    <w:rsid w:val="054A5EB5"/>
    <w:rsid w:val="05F8751D"/>
    <w:rsid w:val="06325B44"/>
    <w:rsid w:val="06AE4ECD"/>
    <w:rsid w:val="07DD40D8"/>
    <w:rsid w:val="082C4C7B"/>
    <w:rsid w:val="09412610"/>
    <w:rsid w:val="09615030"/>
    <w:rsid w:val="096153CE"/>
    <w:rsid w:val="09C70938"/>
    <w:rsid w:val="0A4372AD"/>
    <w:rsid w:val="0A444613"/>
    <w:rsid w:val="0A782F2B"/>
    <w:rsid w:val="0A8B5759"/>
    <w:rsid w:val="0AB77A2F"/>
    <w:rsid w:val="0B57477A"/>
    <w:rsid w:val="0BFD28E4"/>
    <w:rsid w:val="0C5748AB"/>
    <w:rsid w:val="0CBF1481"/>
    <w:rsid w:val="0D9F5B85"/>
    <w:rsid w:val="0E2333F5"/>
    <w:rsid w:val="0E9641E0"/>
    <w:rsid w:val="0F635DF8"/>
    <w:rsid w:val="10687993"/>
    <w:rsid w:val="10741D7C"/>
    <w:rsid w:val="10A54852"/>
    <w:rsid w:val="10CF5F02"/>
    <w:rsid w:val="111D3473"/>
    <w:rsid w:val="12541B05"/>
    <w:rsid w:val="12A72C53"/>
    <w:rsid w:val="133504F9"/>
    <w:rsid w:val="13B61995"/>
    <w:rsid w:val="155D17A2"/>
    <w:rsid w:val="16120B81"/>
    <w:rsid w:val="165D6CAE"/>
    <w:rsid w:val="16854F70"/>
    <w:rsid w:val="177B10D8"/>
    <w:rsid w:val="17E531F7"/>
    <w:rsid w:val="18863C4E"/>
    <w:rsid w:val="1907259E"/>
    <w:rsid w:val="19F55BCD"/>
    <w:rsid w:val="1A0B3DDD"/>
    <w:rsid w:val="1A1B6230"/>
    <w:rsid w:val="1A716F5F"/>
    <w:rsid w:val="1A751B4A"/>
    <w:rsid w:val="1B7457C9"/>
    <w:rsid w:val="1BD73E6F"/>
    <w:rsid w:val="1DCD5A4F"/>
    <w:rsid w:val="1DD708B6"/>
    <w:rsid w:val="1DE63E53"/>
    <w:rsid w:val="1E924522"/>
    <w:rsid w:val="1F8F6F61"/>
    <w:rsid w:val="1F9738AF"/>
    <w:rsid w:val="1FD60DB5"/>
    <w:rsid w:val="20B50589"/>
    <w:rsid w:val="20CC70F5"/>
    <w:rsid w:val="20DB6E4B"/>
    <w:rsid w:val="211A37C5"/>
    <w:rsid w:val="212A6A77"/>
    <w:rsid w:val="21D02FCE"/>
    <w:rsid w:val="21DE498B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BD659E5"/>
    <w:rsid w:val="2CED1432"/>
    <w:rsid w:val="2E343CBB"/>
    <w:rsid w:val="2E574E83"/>
    <w:rsid w:val="2E7A1926"/>
    <w:rsid w:val="2EC91B9A"/>
    <w:rsid w:val="2F076373"/>
    <w:rsid w:val="2F1C119D"/>
    <w:rsid w:val="2F793E5B"/>
    <w:rsid w:val="30402AF5"/>
    <w:rsid w:val="30A32E5A"/>
    <w:rsid w:val="30F7567F"/>
    <w:rsid w:val="3227360A"/>
    <w:rsid w:val="362433BF"/>
    <w:rsid w:val="36761AFA"/>
    <w:rsid w:val="38226957"/>
    <w:rsid w:val="38B94E67"/>
    <w:rsid w:val="38D85AB4"/>
    <w:rsid w:val="39466C4F"/>
    <w:rsid w:val="39A86124"/>
    <w:rsid w:val="3A8A588E"/>
    <w:rsid w:val="3AA03338"/>
    <w:rsid w:val="3ABE5ABB"/>
    <w:rsid w:val="3AC978D1"/>
    <w:rsid w:val="3B026B0F"/>
    <w:rsid w:val="3B236022"/>
    <w:rsid w:val="3B6E7BA0"/>
    <w:rsid w:val="3B784830"/>
    <w:rsid w:val="3C1464F1"/>
    <w:rsid w:val="3CBE27C5"/>
    <w:rsid w:val="3D884FC1"/>
    <w:rsid w:val="3DCC2998"/>
    <w:rsid w:val="3E1D7086"/>
    <w:rsid w:val="3F5538EE"/>
    <w:rsid w:val="40261A2E"/>
    <w:rsid w:val="410819C5"/>
    <w:rsid w:val="41134E62"/>
    <w:rsid w:val="417D1121"/>
    <w:rsid w:val="418D636A"/>
    <w:rsid w:val="43A34EFA"/>
    <w:rsid w:val="448262C6"/>
    <w:rsid w:val="44AA4869"/>
    <w:rsid w:val="454D3EA5"/>
    <w:rsid w:val="46D268F5"/>
    <w:rsid w:val="488A54A4"/>
    <w:rsid w:val="48A553A3"/>
    <w:rsid w:val="49504F57"/>
    <w:rsid w:val="49916668"/>
    <w:rsid w:val="4A8A424F"/>
    <w:rsid w:val="4C1D400F"/>
    <w:rsid w:val="4D797BD0"/>
    <w:rsid w:val="4E866A4D"/>
    <w:rsid w:val="51486F2A"/>
    <w:rsid w:val="52AE5FF2"/>
    <w:rsid w:val="52F4603B"/>
    <w:rsid w:val="532D065B"/>
    <w:rsid w:val="53762EEC"/>
    <w:rsid w:val="53E1259B"/>
    <w:rsid w:val="53F26FC1"/>
    <w:rsid w:val="540C7FF2"/>
    <w:rsid w:val="543878C2"/>
    <w:rsid w:val="565C22F4"/>
    <w:rsid w:val="56F77E4E"/>
    <w:rsid w:val="57476C71"/>
    <w:rsid w:val="5753107B"/>
    <w:rsid w:val="575350B5"/>
    <w:rsid w:val="57BE5D21"/>
    <w:rsid w:val="583867E7"/>
    <w:rsid w:val="587B5575"/>
    <w:rsid w:val="58B266B3"/>
    <w:rsid w:val="5A3D5D63"/>
    <w:rsid w:val="5A4E6182"/>
    <w:rsid w:val="5A523E5D"/>
    <w:rsid w:val="5A5F2402"/>
    <w:rsid w:val="5A6A1C6B"/>
    <w:rsid w:val="5AE52219"/>
    <w:rsid w:val="5B4B2AA8"/>
    <w:rsid w:val="5B6F544B"/>
    <w:rsid w:val="5C7E6BA3"/>
    <w:rsid w:val="5D8A3FC2"/>
    <w:rsid w:val="5E8D610B"/>
    <w:rsid w:val="5FA9090C"/>
    <w:rsid w:val="60643925"/>
    <w:rsid w:val="611236F1"/>
    <w:rsid w:val="6267362C"/>
    <w:rsid w:val="63595F44"/>
    <w:rsid w:val="63E806CC"/>
    <w:rsid w:val="646605FE"/>
    <w:rsid w:val="668C5F95"/>
    <w:rsid w:val="66EF6B43"/>
    <w:rsid w:val="676320BD"/>
    <w:rsid w:val="676E094C"/>
    <w:rsid w:val="686041B0"/>
    <w:rsid w:val="686E4B1A"/>
    <w:rsid w:val="68E14376"/>
    <w:rsid w:val="690F430A"/>
    <w:rsid w:val="69B304BD"/>
    <w:rsid w:val="69C74777"/>
    <w:rsid w:val="6A070C95"/>
    <w:rsid w:val="6A990843"/>
    <w:rsid w:val="6AB34E53"/>
    <w:rsid w:val="6B29789C"/>
    <w:rsid w:val="6BFF68C9"/>
    <w:rsid w:val="6C185166"/>
    <w:rsid w:val="6C4D0495"/>
    <w:rsid w:val="6C72764F"/>
    <w:rsid w:val="6CB302AB"/>
    <w:rsid w:val="6CE00556"/>
    <w:rsid w:val="6CE34371"/>
    <w:rsid w:val="6DE17F8B"/>
    <w:rsid w:val="6E5B7D6F"/>
    <w:rsid w:val="6EA373D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150A9E"/>
    <w:rsid w:val="72293730"/>
    <w:rsid w:val="724A4A01"/>
    <w:rsid w:val="73116912"/>
    <w:rsid w:val="73954482"/>
    <w:rsid w:val="73C43C1D"/>
    <w:rsid w:val="74C2123B"/>
    <w:rsid w:val="74F87257"/>
    <w:rsid w:val="75285EA2"/>
    <w:rsid w:val="758343EA"/>
    <w:rsid w:val="76446D01"/>
    <w:rsid w:val="769326FB"/>
    <w:rsid w:val="76DD19B6"/>
    <w:rsid w:val="772B1020"/>
    <w:rsid w:val="776614D4"/>
    <w:rsid w:val="77BA31E5"/>
    <w:rsid w:val="77C07374"/>
    <w:rsid w:val="7AE93D0D"/>
    <w:rsid w:val="7C392A5C"/>
    <w:rsid w:val="7D4F20E1"/>
    <w:rsid w:val="7D99752A"/>
  </w:rsids>
  <w:docVars>
    <w:docVar w:name="commondata" w:val="eyJoZGlkIjoiMjcyN2NjZTBlNzIwYTJmMjM2YTE3ZjNlMGI3MjkyMm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semiHidden="0" w:uiPriority="1" w:qFormat="1"/>
    <w:lsdException w:name="Body Text" w:semiHidden="0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qFormat="1"/>
    <w:lsdException w:name="annotation subject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nhideWhenUsed/>
    <w:qFormat/>
  </w:style>
  <w:style w:type="paragraph" w:styleId="CommentText">
    <w:name w:val="annotation text"/>
    <w:basedOn w:val="Normal"/>
    <w:semiHidden/>
    <w:qFormat/>
    <w:pPr>
      <w:jc w:val="left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CommentReference">
    <w:name w:val="annotation reference"/>
    <w:semiHidden/>
    <w:qFormat/>
    <w:rPr>
      <w:sz w:val="21"/>
      <w:szCs w:val="21"/>
    </w:rPr>
  </w:style>
  <w:style w:type="paragraph" w:customStyle="1" w:styleId="Revision">
    <w:name w:val="Revision"/>
    <w:uiPriority w:val="99"/>
    <w:semiHidden/>
    <w:qFormat/>
    <w:pPr>
      <w:spacing w:after="200" w:line="276" w:lineRule="auto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3688</Words>
  <Characters>4183</Characters>
  <Application>Microsoft Office Word</Application>
  <DocSecurity>0</DocSecurity>
  <Lines>12</Lines>
  <Paragraphs>3</Paragraphs>
  <ScaleCrop>false</ScaleCrop>
  <Company>zhlx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杨海川</cp:lastModifiedBy>
  <cp:revision>4</cp:revision>
  <cp:lastPrinted>2021-01-19T08:22:00Z</cp:lastPrinted>
  <dcterms:created xsi:type="dcterms:W3CDTF">2012-01-07T11:13:00Z</dcterms:created>
  <dcterms:modified xsi:type="dcterms:W3CDTF">2024-12-28T01:27:13Z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D2C83906279644F3B2AE639D891120AD_12</vt:lpwstr>
  </property>
  <property fmtid="{D5CDD505-2E9C-101B-9397-08002B2CF9AE}" pid="3" name="KSOProductBuildVer">
    <vt:lpwstr>2052-12.1.0.17140</vt:lpwstr>
  </property>
</Properties>
</file>